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2F7" w:rsidRPr="006832F7" w:rsidRDefault="006832F7" w:rsidP="006832F7">
      <w:pPr>
        <w:shd w:val="clear" w:color="auto" w:fill="FFFFFF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4" w:history="1">
        <w:r w:rsidRPr="006832F7">
          <w:rPr>
            <w:rFonts w:ascii="Arial" w:eastAsia="Times New Roman" w:hAnsi="Arial" w:cs="Arial"/>
            <w:color w:val="1A1A1A"/>
            <w:kern w:val="0"/>
            <w:lang w:eastAsia="de-DE"/>
            <w14:ligatures w14:val="none"/>
          </w:rPr>
          <w:br/>
        </w:r>
        <w:r w:rsidRPr="006832F7">
          <w:rPr>
            <w:rFonts w:ascii="Arial" w:eastAsia="Times New Roman" w:hAnsi="Arial" w:cs="Arial"/>
            <w:color w:val="1A1A1A"/>
            <w:kern w:val="0"/>
            <w:u w:val="single"/>
            <w:lang w:eastAsia="de-DE"/>
            <w14:ligatures w14:val="none"/>
          </w:rPr>
          <w:t>Wertpapiername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5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Einstandskurs*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6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Einstandswert*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7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Kurs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8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Kurswert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9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Gewinn / Verlust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0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in Prozent</w:t>
        </w:r>
      </w:hyperlink>
    </w:p>
    <w:p w:rsidR="006832F7" w:rsidRPr="006832F7" w:rsidRDefault="006832F7" w:rsidP="006832F7">
      <w:pPr>
        <w:shd w:val="clear" w:color="auto" w:fill="F0F0F0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sz w:val="20"/>
          <w:szCs w:val="20"/>
          <w:lang w:eastAsia="de-DE"/>
          <w14:ligatures w14:val="none"/>
        </w:rPr>
        <w:t>Aktien</w:t>
      </w:r>
      <w:r w:rsidRPr="006832F7">
        <w:rPr>
          <w:rFonts w:ascii="Arial" w:eastAsia="Times New Roman" w:hAnsi="Arial" w:cs="Arial"/>
          <w:color w:val="1A1A1A"/>
          <w:kern w:val="0"/>
          <w:sz w:val="20"/>
          <w:szCs w:val="20"/>
          <w:lang w:eastAsia="de-DE"/>
          <w14:ligatures w14:val="none"/>
        </w:rPr>
        <w:br/>
        <w:t>(100% des Gesamtwertes)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HORNBACH HOLD.ST O.N.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10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93,09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930,9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61,30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613,00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-317,90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D70000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D70000"/>
          <w:kern w:val="0"/>
          <w:lang w:eastAsia="de-DE"/>
          <w14:ligatures w14:val="none"/>
        </w:rPr>
        <w:t>-34,15 %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JENOPTIK AG NA O.N.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19,22098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28,459007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547,01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23,80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457,46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-89,55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D70000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D70000"/>
          <w:kern w:val="0"/>
          <w:lang w:eastAsia="de-DE"/>
          <w14:ligatures w14:val="none"/>
        </w:rPr>
        <w:t>-16,37 %</w:t>
      </w:r>
    </w:p>
    <w:p w:rsidR="006832F7" w:rsidRPr="006832F7" w:rsidRDefault="006832F7" w:rsidP="006832F7">
      <w:pPr>
        <w:shd w:val="clear" w:color="auto" w:fill="F7F7F7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NETFLIX INC. DL-,001</w:t>
      </w:r>
    </w:p>
    <w:p w:rsidR="006832F7" w:rsidRPr="006832F7" w:rsidRDefault="006832F7" w:rsidP="006832F7">
      <w:pPr>
        <w:shd w:val="clear" w:color="auto" w:fill="F7F7F7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4 Stück</w:t>
      </w:r>
    </w:p>
    <w:p w:rsidR="006832F7" w:rsidRPr="006832F7" w:rsidRDefault="006832F7" w:rsidP="006832F7">
      <w:pPr>
        <w:shd w:val="clear" w:color="auto" w:fill="F7F7F7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451,925</w:t>
      </w:r>
    </w:p>
    <w:p w:rsidR="006832F7" w:rsidRPr="006832F7" w:rsidRDefault="006832F7" w:rsidP="006832F7">
      <w:pPr>
        <w:shd w:val="clear" w:color="auto" w:fill="F7F7F7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1.807,7</w:t>
      </w:r>
    </w:p>
    <w:p w:rsidR="006832F7" w:rsidRPr="006832F7" w:rsidRDefault="006832F7" w:rsidP="006832F7">
      <w:pPr>
        <w:shd w:val="clear" w:color="auto" w:fill="F7F7F7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436,20</w:t>
      </w:r>
    </w:p>
    <w:p w:rsidR="006832F7" w:rsidRPr="006832F7" w:rsidRDefault="006832F7" w:rsidP="006832F7">
      <w:pPr>
        <w:shd w:val="clear" w:color="auto" w:fill="F7F7F7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1.744,80</w:t>
      </w:r>
    </w:p>
    <w:p w:rsidR="006832F7" w:rsidRPr="006832F7" w:rsidRDefault="006832F7" w:rsidP="006832F7">
      <w:pPr>
        <w:shd w:val="clear" w:color="auto" w:fill="F7F7F7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-62,90 EUR</w:t>
      </w:r>
    </w:p>
    <w:p w:rsidR="006832F7" w:rsidRPr="006832F7" w:rsidRDefault="006832F7" w:rsidP="006832F7">
      <w:pPr>
        <w:shd w:val="clear" w:color="auto" w:fill="F7F7F7"/>
        <w:spacing w:line="300" w:lineRule="atLeast"/>
        <w:jc w:val="right"/>
        <w:rPr>
          <w:rFonts w:ascii="Arial" w:eastAsia="Times New Roman" w:hAnsi="Arial" w:cs="Arial"/>
          <w:color w:val="D70000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D70000"/>
          <w:kern w:val="0"/>
          <w:lang w:eastAsia="de-DE"/>
          <w14:ligatures w14:val="none"/>
        </w:rPr>
        <w:t>-3,48 %</w:t>
      </w:r>
    </w:p>
    <w:p w:rsidR="006832F7" w:rsidRPr="006832F7" w:rsidRDefault="006832F7" w:rsidP="006832F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Gesamt</w:t>
      </w: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3 Depotpositionen</w:t>
      </w: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3.285,612.815,26-470,35 EUR</w:t>
      </w:r>
    </w:p>
    <w:p w:rsidR="006832F7" w:rsidRPr="006832F7" w:rsidRDefault="006832F7" w:rsidP="006832F7">
      <w:pPr>
        <w:shd w:val="clear" w:color="auto" w:fill="FFFFFF"/>
        <w:spacing w:line="330" w:lineRule="atLeast"/>
        <w:jc w:val="right"/>
        <w:rPr>
          <w:rFonts w:ascii="Times New Roman" w:eastAsia="Times New Roman" w:hAnsi="Times New Roman" w:cs="Times New Roman"/>
          <w:color w:val="D70000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D70000"/>
          <w:kern w:val="0"/>
          <w:lang w:eastAsia="de-DE"/>
          <w14:ligatures w14:val="none"/>
        </w:rPr>
        <w:t>-14,32 %</w:t>
      </w:r>
    </w:p>
    <w:p w:rsidR="00F67363" w:rsidRDefault="00F67363"/>
    <w:p w:rsidR="006832F7" w:rsidRDefault="006832F7"/>
    <w:p w:rsidR="006832F7" w:rsidRPr="006832F7" w:rsidRDefault="006832F7" w:rsidP="006832F7">
      <w:pPr>
        <w:shd w:val="clear" w:color="auto" w:fill="FFFFFF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1" w:history="1">
        <w:r w:rsidRPr="006832F7">
          <w:rPr>
            <w:rFonts w:ascii="Arial" w:eastAsia="Times New Roman" w:hAnsi="Arial" w:cs="Arial"/>
            <w:color w:val="1A1A1A"/>
            <w:kern w:val="0"/>
            <w:lang w:eastAsia="de-DE"/>
            <w14:ligatures w14:val="none"/>
          </w:rPr>
          <w:br/>
        </w:r>
        <w:r w:rsidRPr="006832F7">
          <w:rPr>
            <w:rFonts w:ascii="Arial" w:eastAsia="Times New Roman" w:hAnsi="Arial" w:cs="Arial"/>
            <w:color w:val="1A1A1A"/>
            <w:kern w:val="0"/>
            <w:u w:val="single"/>
            <w:lang w:eastAsia="de-DE"/>
            <w14:ligatures w14:val="none"/>
          </w:rPr>
          <w:t>Wertpapiername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2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Einstandskurs*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3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Einstandswert*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4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Kurs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5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Kurswert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6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Gewinn / Verlust</w:t>
        </w:r>
      </w:hyperlink>
    </w:p>
    <w:p w:rsidR="006832F7" w:rsidRPr="006832F7" w:rsidRDefault="006832F7" w:rsidP="006832F7">
      <w:pPr>
        <w:shd w:val="clear" w:color="auto" w:fill="FFFFFF"/>
        <w:jc w:val="right"/>
        <w:rPr>
          <w:rFonts w:ascii="Arial" w:eastAsia="Times New Roman" w:hAnsi="Arial" w:cs="Arial"/>
          <w:color w:val="666666"/>
          <w:kern w:val="0"/>
          <w:lang w:eastAsia="de-DE"/>
          <w14:ligatures w14:val="none"/>
        </w:rPr>
      </w:pPr>
      <w:hyperlink r:id="rId17" w:history="1">
        <w:r w:rsidRPr="006832F7">
          <w:rPr>
            <w:rFonts w:ascii="Arial" w:eastAsia="Times New Roman" w:hAnsi="Arial" w:cs="Arial"/>
            <w:color w:val="666666"/>
            <w:kern w:val="0"/>
            <w:u w:val="single"/>
            <w:lang w:eastAsia="de-DE"/>
            <w14:ligatures w14:val="none"/>
          </w:rPr>
          <w:t>in Prozent</w:t>
        </w:r>
      </w:hyperlink>
    </w:p>
    <w:p w:rsidR="006832F7" w:rsidRPr="006832F7" w:rsidRDefault="006832F7" w:rsidP="006832F7">
      <w:pPr>
        <w:shd w:val="clear" w:color="auto" w:fill="F0F0F0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sz w:val="20"/>
          <w:szCs w:val="20"/>
          <w:lang w:eastAsia="de-DE"/>
          <w14:ligatures w14:val="none"/>
        </w:rPr>
        <w:t>ETFs</w:t>
      </w:r>
      <w:r w:rsidRPr="006832F7">
        <w:rPr>
          <w:rFonts w:ascii="Arial" w:eastAsia="Times New Roman" w:hAnsi="Arial" w:cs="Arial"/>
          <w:color w:val="1A1A1A"/>
          <w:kern w:val="0"/>
          <w:sz w:val="20"/>
          <w:szCs w:val="20"/>
          <w:lang w:eastAsia="de-DE"/>
          <w14:ligatures w14:val="none"/>
        </w:rPr>
        <w:br/>
        <w:t>(100% des Gesamtwertes)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lastRenderedPageBreak/>
        <w:t>AIS-AM.MSCI WLD EOC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37,55966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374,547054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14.067,86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431,158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16.194,15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+2.126,29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349651"/>
          <w:kern w:val="0"/>
          <w:lang w:val="en-US"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349651"/>
          <w:kern w:val="0"/>
          <w:lang w:val="en-US" w:eastAsia="de-DE"/>
          <w14:ligatures w14:val="none"/>
        </w:rPr>
        <w:t>+15,11 %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val="en-US"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val="en-US" w:eastAsia="de-DE"/>
          <w14:ligatures w14:val="none"/>
        </w:rPr>
        <w:t>ISHS CORE DAX UC.ETF EOA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21,42464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117,773741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2.523,26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134,18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2.874,76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+351,50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349651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349651"/>
          <w:kern w:val="0"/>
          <w:lang w:eastAsia="de-DE"/>
          <w14:ligatures w14:val="none"/>
        </w:rPr>
        <w:t>+13,93 %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ISHSIII-CORE MSCI WLD DLA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75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70,296533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5.272,24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78,782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5.908,65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+636,41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349651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349651"/>
          <w:kern w:val="0"/>
          <w:lang w:eastAsia="de-DE"/>
          <w14:ligatures w14:val="none"/>
        </w:rPr>
        <w:t>+12,07 %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VANG.FTSE A.-WO.U.ETF DLD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15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90,478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1.357,17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104,00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1.560,00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+202,83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349651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349651"/>
          <w:kern w:val="0"/>
          <w:lang w:eastAsia="de-DE"/>
          <w14:ligatures w14:val="none"/>
        </w:rPr>
        <w:t>+14,95 %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VANG.FTSE DEV.W.U.ETF DLA</w:t>
      </w:r>
    </w:p>
    <w:p w:rsidR="006832F7" w:rsidRPr="006832F7" w:rsidRDefault="006832F7" w:rsidP="006832F7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72 Stück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72,238056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5.201,14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81,03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5.834,16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+633,02 EUR</w:t>
      </w:r>
    </w:p>
    <w:p w:rsidR="006832F7" w:rsidRPr="006832F7" w:rsidRDefault="006832F7" w:rsidP="006832F7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color w:val="349651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349651"/>
          <w:kern w:val="0"/>
          <w:lang w:eastAsia="de-DE"/>
          <w14:ligatures w14:val="none"/>
        </w:rPr>
        <w:t>+12,17 %</w:t>
      </w:r>
    </w:p>
    <w:p w:rsidR="006832F7" w:rsidRPr="006832F7" w:rsidRDefault="006832F7" w:rsidP="006832F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A1A1A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Gesamt</w:t>
      </w:r>
      <w:r w:rsidRPr="006832F7">
        <w:rPr>
          <w:rFonts w:ascii="Arial" w:eastAsia="Times New Roman" w:hAnsi="Arial" w:cs="Arial"/>
          <w:color w:val="1A1A1A"/>
          <w:kern w:val="0"/>
          <w:lang w:eastAsia="de-DE"/>
          <w14:ligatures w14:val="none"/>
        </w:rPr>
        <w:t>5 Depotpositionen</w:t>
      </w:r>
      <w:r w:rsidRPr="006832F7">
        <w:rPr>
          <w:rFonts w:ascii="Arial" w:eastAsia="Times New Roman" w:hAnsi="Arial" w:cs="Arial"/>
          <w:b/>
          <w:bCs/>
          <w:color w:val="1A1A1A"/>
          <w:kern w:val="0"/>
          <w:lang w:eastAsia="de-DE"/>
          <w14:ligatures w14:val="none"/>
        </w:rPr>
        <w:t>28.421,6732.371,72+3.950,05 EUR</w:t>
      </w:r>
    </w:p>
    <w:p w:rsidR="006832F7" w:rsidRPr="006832F7" w:rsidRDefault="006832F7" w:rsidP="006832F7">
      <w:pPr>
        <w:shd w:val="clear" w:color="auto" w:fill="FFFFFF"/>
        <w:spacing w:line="330" w:lineRule="atLeast"/>
        <w:jc w:val="right"/>
        <w:rPr>
          <w:rFonts w:ascii="Times New Roman" w:eastAsia="Times New Roman" w:hAnsi="Times New Roman" w:cs="Times New Roman"/>
          <w:color w:val="349651"/>
          <w:kern w:val="0"/>
          <w:lang w:eastAsia="de-DE"/>
          <w14:ligatures w14:val="none"/>
        </w:rPr>
      </w:pPr>
      <w:r w:rsidRPr="006832F7">
        <w:rPr>
          <w:rFonts w:ascii="Arial" w:eastAsia="Times New Roman" w:hAnsi="Arial" w:cs="Arial"/>
          <w:b/>
          <w:bCs/>
          <w:color w:val="349651"/>
          <w:kern w:val="0"/>
          <w:lang w:eastAsia="de-DE"/>
          <w14:ligatures w14:val="none"/>
        </w:rPr>
        <w:t>+13,90 %</w:t>
      </w:r>
    </w:p>
    <w:p w:rsidR="006832F7" w:rsidRDefault="006832F7"/>
    <w:sectPr w:rsidR="006832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F7"/>
    <w:rsid w:val="006832F7"/>
    <w:rsid w:val="00695E05"/>
    <w:rsid w:val="00F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3F4A6"/>
  <w15:chartTrackingRefBased/>
  <w15:docId w15:val="{939BA193-9396-4741-AD48-40BEA3E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832F7"/>
    <w:rPr>
      <w:color w:val="0000FF"/>
      <w:u w:val="single"/>
    </w:rPr>
  </w:style>
  <w:style w:type="character" w:customStyle="1" w:styleId="u-hidden-sm">
    <w:name w:val="u-hidden-sm"/>
    <w:basedOn w:val="Absatz-Standardschriftart"/>
    <w:rsid w:val="006832F7"/>
  </w:style>
  <w:style w:type="character" w:styleId="Fett">
    <w:name w:val="Strong"/>
    <w:basedOn w:val="Absatz-Standardschriftart"/>
    <w:uiPriority w:val="22"/>
    <w:qFormat/>
    <w:rsid w:val="006832F7"/>
    <w:rPr>
      <w:b/>
      <w:bCs/>
    </w:rPr>
  </w:style>
  <w:style w:type="character" w:customStyle="1" w:styleId="gnv">
    <w:name w:val="gnv"/>
    <w:basedOn w:val="Absatz-Standardschriftart"/>
    <w:rsid w:val="006832F7"/>
  </w:style>
  <w:style w:type="character" w:customStyle="1" w:styleId="valuta-alignedsign">
    <w:name w:val="valuta-aligned__sign"/>
    <w:basedOn w:val="Absatz-Standardschriftart"/>
    <w:rsid w:val="006832F7"/>
  </w:style>
  <w:style w:type="character" w:customStyle="1" w:styleId="multiline">
    <w:name w:val="multiline"/>
    <w:basedOn w:val="Absatz-Standardschriftart"/>
    <w:rsid w:val="006832F7"/>
  </w:style>
  <w:style w:type="character" w:customStyle="1" w:styleId="ibbr-table-cell">
    <w:name w:val="ibbr-table-cell"/>
    <w:basedOn w:val="Absatz-Standardschriftart"/>
    <w:rsid w:val="0068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393">
          <w:marLeft w:val="0"/>
          <w:marRight w:val="0"/>
          <w:marTop w:val="0"/>
          <w:marBottom w:val="0"/>
          <w:divBdr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divBdr>
          <w:divsChild>
            <w:div w:id="20252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A6A6A6"/>
              </w:divBdr>
            </w:div>
            <w:div w:id="1167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6A6A6"/>
                    <w:right w:val="single" w:sz="6" w:space="8" w:color="A6A6A6"/>
                  </w:divBdr>
                </w:div>
                <w:div w:id="1972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6A6A6"/>
                  </w:divBdr>
                </w:div>
              </w:divsChild>
            </w:div>
            <w:div w:id="1809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6A6A6"/>
                    <w:right w:val="single" w:sz="6" w:space="8" w:color="A6A6A6"/>
                  </w:divBdr>
                </w:div>
                <w:div w:id="50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6A6A6"/>
                  </w:divBdr>
                </w:div>
              </w:divsChild>
            </w:div>
            <w:div w:id="757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6A6A6"/>
                    <w:right w:val="single" w:sz="6" w:space="8" w:color="A6A6A6"/>
                  </w:divBdr>
                </w:div>
                <w:div w:id="17164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6A6A6"/>
                  </w:divBdr>
                </w:div>
              </w:divsChild>
            </w:div>
          </w:divsChild>
        </w:div>
        <w:div w:id="1182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9504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6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15853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5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3754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3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10784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8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8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7897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1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87">
          <w:marLeft w:val="0"/>
          <w:marRight w:val="0"/>
          <w:marTop w:val="0"/>
          <w:marBottom w:val="0"/>
          <w:divBdr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divBdr>
          <w:divsChild>
            <w:div w:id="18298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A6A6A6"/>
              </w:divBdr>
            </w:div>
            <w:div w:id="1437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6A6A6"/>
                    <w:right w:val="single" w:sz="6" w:space="8" w:color="A6A6A6"/>
                  </w:divBdr>
                </w:div>
                <w:div w:id="9461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6A6A6"/>
                  </w:divBdr>
                </w:div>
              </w:divsChild>
            </w:div>
            <w:div w:id="14151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6A6A6"/>
                    <w:right w:val="single" w:sz="6" w:space="8" w:color="A6A6A6"/>
                  </w:divBdr>
                </w:div>
                <w:div w:id="1678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6A6A6"/>
                  </w:divBdr>
                </w:div>
              </w:divsChild>
            </w:div>
            <w:div w:id="2037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6A6A6"/>
                    <w:right w:val="single" w:sz="6" w:space="8" w:color="A6A6A6"/>
                  </w:divBdr>
                </w:div>
                <w:div w:id="10349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6A6A6"/>
                  </w:divBdr>
                </w:div>
              </w:divsChild>
            </w:div>
          </w:divsChild>
        </w:div>
        <w:div w:id="220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16433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20745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5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10665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ing.ing.de/app/brokerage/depotbewertung?x=sFoL7tEk1BTV41rAhn9GUzamCt8v0ZHFxSW10I3Mu5rm8S6CyyCMCSh9SIZO5FzOuGoKj4AU0ukaTSIM0iP_CvoUzRJONleit" TargetMode="External"/><Relationship Id="rId13" Type="http://schemas.openxmlformats.org/officeDocument/2006/relationships/hyperlink" Target="https://banking.ing.de/app/brokerage/depotbewertung?x=sJ6htftzIIsf_eMmVWfbBYgZ69WNh1cHJqM3bYtTMc4wugkx4PY0lgYvuxE1x3krLbyhIncIKqgrqhTJnoJtp1jPScxpQGtm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nking.ing.de/app/brokerage/depotbewertung?x=sFoL7tEk1BTV41rAhn9GUzamCt8v0ZHFxSW10I3Mu5rm8S6CyyCMCSh9SIZO5FzOuGoKj4AU0ukbp9ZrjqnuQmTZHXEQfUW-1" TargetMode="External"/><Relationship Id="rId12" Type="http://schemas.openxmlformats.org/officeDocument/2006/relationships/hyperlink" Target="https://banking.ing.de/app/brokerage/depotbewertung?x=sJ6htftzIIsf_eMmVWfbBYgZ69WNh1cHJqM3bYtTMc4wugkx4PY0lgYvuxE1x3krLbyhIncIKqgrqhTJnoJtp1macIPKgK44y" TargetMode="External"/><Relationship Id="rId17" Type="http://schemas.openxmlformats.org/officeDocument/2006/relationships/hyperlink" Target="https://banking.ing.de/app/brokerage/depotbewertung?x=sJ6htftzIIsf_eMmVWfbBYgZ69WNh1cHJqM3bYtTMc4wugkx4PY0lgYvuxE1x3krLbyhIncIKqgqlUuNmMwXR9pkqMwiYQ4KYByWUOJk8Ox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nking.ing.de/app/brokerage/depotbewertung?x=sJ6htftzIIsf_eMmVWfbBYgZ69WNh1cHJqM3bYtTMc4wugkx4PY0lgYvuxE1x3krLbyhIncIKqgqlUuNmMwXR9jzrjFKqbTgGQUIdVf-wA54" TargetMode="External"/><Relationship Id="rId1" Type="http://schemas.openxmlformats.org/officeDocument/2006/relationships/styles" Target="styles.xml"/><Relationship Id="rId6" Type="http://schemas.openxmlformats.org/officeDocument/2006/relationships/hyperlink" Target="https://banking.ing.de/app/brokerage/depotbewertung?x=sFoL7tEk1BTV41rAhn9GUzamCt8v0ZHFxSW10I3Mu5rm8S6CyyCMCSh9SIZO5FzOuGoKj4AU0ukYW3tyRBecW5YNS-ScCQM6g" TargetMode="External"/><Relationship Id="rId11" Type="http://schemas.openxmlformats.org/officeDocument/2006/relationships/hyperlink" Target="https://banking.ing.de/app/brokerage/depotbewertung?x=sJ6htftzIIsf_eMmVWfbBYgZ69WNh1cHJqM3bYtTMc4wugkx4PY0lgYvuxE1x3krLbyhIncIKqgrUf18-2b_bT5VrDh39FVKz" TargetMode="External"/><Relationship Id="rId5" Type="http://schemas.openxmlformats.org/officeDocument/2006/relationships/hyperlink" Target="https://banking.ing.de/app/brokerage/depotbewertung?x=sFoL7tEk1BTV41rAhn9GUzamCt8v0ZHFxSW10I3Mu5rm8S6CyyCMCSh9SIZO5FzOuGoKj4AU0ukYW3tyRBecW5c3fgCWowaMu" TargetMode="External"/><Relationship Id="rId15" Type="http://schemas.openxmlformats.org/officeDocument/2006/relationships/hyperlink" Target="https://banking.ing.de/app/brokerage/depotbewertung?x=sJ6htftzIIsf_eMmVWfbBYgZ69WNh1cHJqM3bYtTMc4wugkx4PY0lgYvuxE1x3krLbyhIncIKqgqKcdWzyZv5OJDKl8BT0phZ" TargetMode="External"/><Relationship Id="rId10" Type="http://schemas.openxmlformats.org/officeDocument/2006/relationships/hyperlink" Target="https://banking.ing.de/app/brokerage/depotbewertung?x=sFoL7tEk1BTV41rAhn9GUzamCt8v0ZHFxSW10I3Mu5rm8S6CyyCMCSh9SIZO5FzOuGoKj4AU0ukZojXFD0Rtj4SIhHfWh8oDHMkNtxEXVWM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anking.ing.de/app/brokerage/depotbewertung?x=sFoL7tEk1BTV41rAhn9GUzamCt8v0ZHFxSW10I3Mu5rm8S6CyyCMCSh9SIZO5FzOuGoKj4AU0ukaAveqbf1GKrWqfIVfiWImk" TargetMode="External"/><Relationship Id="rId9" Type="http://schemas.openxmlformats.org/officeDocument/2006/relationships/hyperlink" Target="https://banking.ing.de/app/brokerage/depotbewertung?x=sFoL7tEk1BTV41rAhn9GUzamCt8v0ZHFxSW10I3Mu5rm8S6CyyCMCSh9SIZO5FzOuGoKj4AU0ukZojXFD0Rtj4ZFTc72sgvOJ-JUL6Y14GlY" TargetMode="External"/><Relationship Id="rId14" Type="http://schemas.openxmlformats.org/officeDocument/2006/relationships/hyperlink" Target="https://banking.ing.de/app/brokerage/depotbewertung?x=sJ6htftzIIsf_eMmVWfbBYgZ69WNh1cHJqM3bYtTMc4wugkx4PY0lgYvuxE1x3krLbyhIncIKqgqONSGGlK2cbfdVm1yMQVv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Strenzke</dc:creator>
  <cp:keywords/>
  <dc:description/>
  <cp:lastModifiedBy>Peter Strenzke</cp:lastModifiedBy>
  <cp:revision>1</cp:revision>
  <dcterms:created xsi:type="dcterms:W3CDTF">2023-11-26T10:59:00Z</dcterms:created>
  <dcterms:modified xsi:type="dcterms:W3CDTF">2023-11-26T11:01:00Z</dcterms:modified>
</cp:coreProperties>
</file>